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Obavijest o dodatnim informacijama, poništenju postupka ili ispravku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Odjeljak I: Javni/sektorski naručitelj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I.1) Naziv, adrese i kontakt(i)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Službeni naziv: UČENIČKI DOM NOVI ZAGREB OIB: 68776176875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Poštanska adresa: AVENIJA VJEĆESLAVA HOLJEVCA 3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Mjesto: Zagreb Poštanski broj: 10010 Država: Hrvatska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Služba(e) za kontakt: Tajništvo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pažnju (osoba za kontakt): Ana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Ivković</w:t>
      </w:r>
      <w:proofErr w:type="spellEnd"/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Telefon: 01/6626171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E-pošta: tajnistvo@udnovizagreb.hr Telefaks: 01/6626171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Internetska adresa(e):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Glavna adresa javnog naručitelja: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(URL)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Adresa profila naručitelja (kupca):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(URL)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I.2) Vrsta naručitelja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</w:rPr>
      </w:pPr>
      <w:r>
        <w:rPr>
          <w:rFonts w:ascii="TimesNewRomanPSMT" w:hAnsi="TimesNewRomanPSMT" w:cs="TimesNewRomanPSMT"/>
          <w:sz w:val="20"/>
          <w:szCs w:val="20"/>
        </w:rPr>
        <w:t xml:space="preserve">Javni naručitelj </w:t>
      </w:r>
      <w:r>
        <w:rPr>
          <w:rFonts w:ascii="Wingdings2" w:hAnsi="Wingdings2" w:cs="Wingdings2"/>
        </w:rPr>
        <w:t>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Sektorski naručitelj </w:t>
      </w:r>
      <w:r>
        <w:rPr>
          <w:rFonts w:ascii="Wingdings2" w:hAnsi="Wingdings2" w:cs="Wingdings2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Standardni obrazac 14: Obavijest o dodatnim informacijama, poništenju postupka ili ispravku Broj objave: 2015/S 014-0037450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Odjeljak II: Predmet nabave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II.1) Opis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II.1.1) Naziv predmeta nabave koji je dodijelio javni/sektorski naručitelj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(kako je navedeno u osnovnoj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objavi)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NABAVA PROIZVODA ŽIVOTINJSKOG PODRIJETLA, MESA I MESNIH PROIZVODA, podijeljen po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grupama.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II.1.2) Kratak opis predmeta ugovora ili nabave(a)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(kako je navedeno u osnovnoj objavi)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PROIZVODI ŽIVOTINJSKOG PODRIJETLA,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MESO I MESNI PROIZVODI, podijeljen po grupama.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II.1.6) Jedinstveni rječnik javne nabave (CPV)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Glavni rječnik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Dodatni rječnik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Glavni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predmet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15100000-9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Dodatni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predmet(i)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Standardni obrazac 14: Obavijest o dodatnim informacijama, poništenju postupka ili ispravku Broj objave: 2015/S 014-0037450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Odjeljak IV: Postupak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IV.1) Vrsta postupka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IV.1.1) Vrsta postupka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(kako je navedeno u osnovnoj objavi)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Otvoreni </w:t>
      </w:r>
      <w:r>
        <w:rPr>
          <w:rFonts w:ascii="Wingdings2" w:hAnsi="Wingdings2" w:cs="Wingdings2"/>
          <w:sz w:val="20"/>
          <w:szCs w:val="20"/>
        </w:rPr>
        <w:t>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Ograničeni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Ograničeni zbog žurnosti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Pregovarački s prethodnom objavom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Pregovarački s prethodnom objavom zbog žurnosti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Pregovarački bez prethodne objave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Natjecateljski dijalog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Postupak sklapanja ugovora iz Dodatka II.B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Izuzeće od primjene Zakona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IV.2) Administrativni podaci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IV.2.1) Evidencijski broj koji je dodijelio javni/sektorski naručitelj: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(kako je navedeno u osnovnoj objavi,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ako je primjenjivo)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EV 4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IV.2.3) Objava na koju se ova obavijest odnosi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Broj objave: 2015/S 002-0036612 od 24.11.2015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IV.2.4) Datum slanja osnovne objave: </w:t>
      </w:r>
      <w:r>
        <w:rPr>
          <w:rFonts w:ascii="TimesNewRomanPSMT" w:hAnsi="TimesNewRomanPSMT" w:cs="TimesNewRomanPSMT"/>
          <w:sz w:val="20"/>
          <w:szCs w:val="20"/>
        </w:rPr>
        <w:t>23.11.2015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Standardni obrazac 14: Obavijest o dodatnim informacijama, poništenju postupka ili ispravku Broj objave: 2015/S 014-0037450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Odjeljak VI: Dopunski podaci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VI.1) Ova obavijest uključuje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primjenjivo; označite onoliko polja koliko je potrebno)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Poništenje postupka </w:t>
      </w:r>
      <w:r>
        <w:rPr>
          <w:rFonts w:ascii="Wingdings2" w:hAnsi="Wingdings2" w:cs="Wingdings2"/>
          <w:sz w:val="20"/>
          <w:szCs w:val="20"/>
        </w:rPr>
        <w:t xml:space="preserve"> </w:t>
      </w:r>
      <w:r>
        <w:rPr>
          <w:rFonts w:ascii="TimesNewRomanPSMT" w:hAnsi="TimesNewRomanPSMT" w:cs="TimesNewRomanPSMT"/>
          <w:sz w:val="20"/>
          <w:szCs w:val="20"/>
        </w:rPr>
        <w:t xml:space="preserve">Ispravak </w:t>
      </w:r>
      <w:r>
        <w:rPr>
          <w:rFonts w:ascii="Wingdings2" w:hAnsi="Wingdings2" w:cs="Wingdings2"/>
          <w:sz w:val="20"/>
          <w:szCs w:val="20"/>
        </w:rPr>
        <w:t xml:space="preserve"> </w:t>
      </w:r>
      <w:r>
        <w:rPr>
          <w:rFonts w:ascii="TimesNewRomanPSMT" w:hAnsi="TimesNewRomanPSMT" w:cs="TimesNewRomanPSMT"/>
          <w:sz w:val="20"/>
          <w:szCs w:val="20"/>
        </w:rPr>
        <w:t xml:space="preserve">Dodatne informacije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VI.2) Podaci o poništenju postupka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primjenjivo; označite onoliko polja koliko je potrebno)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Postupak javne nabave je zaustavljen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Postupak javne nabave je poništen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Ugovor nije sklopljen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Postupak se može ponovno objaviti </w:t>
      </w:r>
      <w:r>
        <w:rPr>
          <w:rFonts w:ascii="Wingdings2" w:hAnsi="Wingdings2" w:cs="Wingdings2"/>
          <w:sz w:val="20"/>
          <w:szCs w:val="20"/>
        </w:rPr>
        <w:t>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VI.3) Informacije koje se ispravljaju ili dopunjuju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primjenjivo; kod navođenja mjesta osnovne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objave na kojem se nalazi tekst ili datum koji se ispravlja ili dopunjuje, molimo uvijek navedite odgovarajući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odjeljak i broj odlomka osnovne objave)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VI.3.2)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 xml:space="preserve"> </w:t>
      </w:r>
      <w:r>
        <w:rPr>
          <w:rFonts w:ascii="TimesNewRomanPSMT" w:hAnsi="TimesNewRomanPSMT" w:cs="TimesNewRomanPSMT"/>
          <w:sz w:val="20"/>
          <w:szCs w:val="20"/>
        </w:rPr>
        <w:t xml:space="preserve">U osnovnoj objavi </w:t>
      </w:r>
      <w:r>
        <w:rPr>
          <w:rFonts w:ascii="Wingdings2" w:hAnsi="Wingdings2" w:cs="Wingdings2"/>
          <w:sz w:val="20"/>
          <w:szCs w:val="20"/>
        </w:rPr>
        <w:t xml:space="preserve"> </w:t>
      </w:r>
      <w:r>
        <w:rPr>
          <w:rFonts w:ascii="TimesNewRomanPSMT" w:hAnsi="TimesNewRomanPSMT" w:cs="TimesNewRomanPSMT"/>
          <w:sz w:val="20"/>
          <w:szCs w:val="20"/>
        </w:rPr>
        <w:t>U dokumentaciji za nadmetanje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(za daljnje informacije molimo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vidite odgovarajuću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dokumentaciju za nadmetanje)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Wingdings2" w:hAnsi="Wingdings2" w:cs="Wingdings2"/>
          <w:sz w:val="20"/>
          <w:szCs w:val="20"/>
        </w:rPr>
        <w:t xml:space="preserve"> </w:t>
      </w:r>
      <w:r>
        <w:rPr>
          <w:rFonts w:ascii="TimesNewRomanPSMT" w:hAnsi="TimesNewRomanPSMT" w:cs="TimesNewRomanPSMT"/>
          <w:sz w:val="20"/>
          <w:szCs w:val="20"/>
        </w:rPr>
        <w:t>Oboje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(za daljnje informacije molimo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vidite odgovarajuću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dokumentaciju za nadmetanje)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VI.3.3) Tekst koji se ispravlja u osnovnoj objavi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Mjesto na kojem se nalazi tekst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koji se ispravlja: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Umjesto: Glasi: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VI.3.4) Datumi koji se ispravljaju u osnovnoj objavi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Mjesto na kojem se nalaze datumi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koji se ispravljaju: Umjesto: Glasi: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Rok za dostavu ponuda 04.12.2015 09:00:00 14.12.2015 09:00:00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Dan otvaranja ponuda 04.12.2015 09:00:00 14.12.2015 09:00:00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VI.3.5) Adrese i kontakt(i) koji se ispravljaju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Mjesto na kojem se nalazi tekst koji se ispravlja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primjenjivo):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Službeni naziv: OIB: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Poštanska adresa: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Mjesto: Poštanski broj: Država: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Služba(e) za kontakt: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Na pažnju (osoba za kontakt):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Telefon: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E-pošta: Telefaks: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Standardni obrazac 14: Obavijest o dodatnim informacijama, poništenju postupka ili ispravku Broj objave: 2015/S 014-0037450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Internetska adresa(e):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Glavna adresa javnog/sektorskog naručitelja: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(URL)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Adresa profila naručitelja (kupca):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(URL)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VI.3.6) Tekst koji se dopunjuje u osnovnoj objavi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Mjesto na kojem se nalazi tekst koji se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dopunjuje: Tekst koji se dopunjuje: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>1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VI.4) Ostali dodatni podaci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(ako je primjenjivo)</w:t>
      </w:r>
    </w:p>
    <w:p w:rsidR="008704D8" w:rsidRDefault="008704D8" w:rsidP="008704D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(Odjeljak VI. koristiti onoliko puta koliko je to potrebno)</w:t>
      </w:r>
    </w:p>
    <w:p w:rsidR="0092069E" w:rsidRDefault="008704D8" w:rsidP="008704D8">
      <w:r>
        <w:rPr>
          <w:rFonts w:ascii="TimesNewRomanPSMT" w:hAnsi="TimesNewRomanPSMT" w:cs="TimesNewRomanPSMT"/>
          <w:sz w:val="12"/>
          <w:szCs w:val="12"/>
        </w:rPr>
        <w:t>Standardni obrazac 14: Obavijest o dodatnim informacijama, poništenju postupka ili ispravku Broj objave: 2015/S 014-0037450</w:t>
      </w:r>
    </w:p>
    <w:sectPr w:rsidR="0092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D8"/>
    <w:rsid w:val="008704D8"/>
    <w:rsid w:val="009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F563-C63B-475F-948E-C1324949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2016-03-15T15:19:00Z</dcterms:created>
  <dcterms:modified xsi:type="dcterms:W3CDTF">2016-03-15T15:26:00Z</dcterms:modified>
</cp:coreProperties>
</file>